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B7335" w14:textId="77777777" w:rsidR="00BA75FB" w:rsidRDefault="00BA75FB" w:rsidP="008F4AB8">
      <w:pPr>
        <w:jc w:val="center"/>
        <w:rPr>
          <w:rFonts w:ascii="Poppins" w:hAnsi="Poppins" w:cs="Poppins"/>
          <w:b/>
          <w:u w:val="single"/>
          <w:lang w:val="en-GB"/>
        </w:rPr>
      </w:pPr>
    </w:p>
    <w:p w14:paraId="69B87C88" w14:textId="3B2FEB87" w:rsidR="008F4AB8" w:rsidRPr="006A7024" w:rsidRDefault="008F4AB8" w:rsidP="008F4AB8">
      <w:pPr>
        <w:jc w:val="center"/>
        <w:rPr>
          <w:rFonts w:ascii="Poppins" w:hAnsi="Poppins" w:cs="Poppins"/>
          <w:b/>
          <w:lang w:val="en-GB"/>
        </w:rPr>
      </w:pPr>
      <w:r w:rsidRPr="006A7024">
        <w:rPr>
          <w:rFonts w:ascii="Poppins" w:hAnsi="Poppins" w:cs="Poppins"/>
          <w:b/>
          <w:lang w:val="en-GB"/>
        </w:rPr>
        <w:t>Towards a European Apprenticeship Area</w:t>
      </w:r>
    </w:p>
    <w:p w14:paraId="0FC1F76B" w14:textId="79F00362" w:rsidR="008F4AB8" w:rsidRDefault="007327DC" w:rsidP="00A32BAC">
      <w:pPr>
        <w:jc w:val="center"/>
        <w:rPr>
          <w:rFonts w:ascii="Poppins" w:hAnsi="Poppins" w:cs="Poppins"/>
          <w:b/>
          <w:lang w:val="en-GB"/>
        </w:rPr>
      </w:pPr>
      <w:r w:rsidRPr="006A7024">
        <w:rPr>
          <w:rFonts w:ascii="Poppins" w:hAnsi="Poppins" w:cs="Poppins"/>
          <w:b/>
          <w:lang w:val="en-GB"/>
        </w:rPr>
        <w:t>APPRENTICES’ DECLARATION</w:t>
      </w:r>
    </w:p>
    <w:p w14:paraId="448CFBC6" w14:textId="57ED2919" w:rsidR="007327DC" w:rsidRPr="006A7024" w:rsidRDefault="007327DC" w:rsidP="007327DC">
      <w:pPr>
        <w:jc w:val="center"/>
        <w:rPr>
          <w:rFonts w:ascii="Poppins" w:hAnsi="Poppins" w:cs="Poppins"/>
          <w:b/>
          <w:lang w:val="en-GB"/>
        </w:rPr>
      </w:pPr>
      <w:r>
        <w:rPr>
          <w:rFonts w:ascii="Poppins" w:hAnsi="Poppins" w:cs="Poppins"/>
          <w:b/>
          <w:lang w:val="en-GB"/>
        </w:rPr>
        <w:t xml:space="preserve">PARIS </w:t>
      </w:r>
      <w:r w:rsidRPr="006A7024">
        <w:rPr>
          <w:rFonts w:ascii="Poppins" w:hAnsi="Poppins" w:cs="Poppins"/>
          <w:b/>
          <w:lang w:val="en-GB"/>
        </w:rPr>
        <w:t>– 14 October 2026</w:t>
      </w:r>
    </w:p>
    <w:p w14:paraId="2B047691" w14:textId="77777777" w:rsidR="00E11DA6" w:rsidRDefault="00E11DA6" w:rsidP="008F4AB8">
      <w:pPr>
        <w:jc w:val="both"/>
        <w:rPr>
          <w:rFonts w:ascii="Poppins" w:hAnsi="Poppins" w:cs="Poppins"/>
          <w:sz w:val="20"/>
          <w:szCs w:val="20"/>
          <w:lang w:val="en-GB"/>
        </w:rPr>
      </w:pPr>
    </w:p>
    <w:p w14:paraId="1F3D7DDE" w14:textId="6C5C465E" w:rsidR="008F4AB8" w:rsidRPr="00B24DB0" w:rsidRDefault="008F4AB8" w:rsidP="008F4AB8">
      <w:pPr>
        <w:jc w:val="both"/>
        <w:rPr>
          <w:rFonts w:ascii="Poppins" w:hAnsi="Poppins" w:cs="Poppins"/>
          <w:sz w:val="20"/>
          <w:szCs w:val="20"/>
          <w:lang w:val="en-GB"/>
        </w:rPr>
      </w:pPr>
      <w:r w:rsidRPr="00B24DB0">
        <w:rPr>
          <w:rFonts w:ascii="Poppins" w:hAnsi="Poppins" w:cs="Poppins"/>
          <w:sz w:val="20"/>
          <w:szCs w:val="20"/>
          <w:lang w:val="en-GB"/>
        </w:rPr>
        <w:t xml:space="preserve">On 14 October 2026, on the eve of the </w:t>
      </w:r>
      <w:r>
        <w:rPr>
          <w:rFonts w:ascii="Poppins" w:hAnsi="Poppins" w:cs="Poppins"/>
          <w:sz w:val="20"/>
          <w:szCs w:val="20"/>
          <w:lang w:val="en-GB"/>
        </w:rPr>
        <w:t xml:space="preserve">main </w:t>
      </w:r>
      <w:r w:rsidRPr="00B24DB0">
        <w:rPr>
          <w:rFonts w:ascii="Poppins" w:hAnsi="Poppins" w:cs="Poppins"/>
          <w:sz w:val="20"/>
          <w:szCs w:val="20"/>
          <w:lang w:val="en-GB"/>
        </w:rPr>
        <w:t>conference “Towards a European Apprenticeship Area”</w:t>
      </w:r>
      <w:r>
        <w:rPr>
          <w:rFonts w:ascii="Poppins" w:hAnsi="Poppins" w:cs="Poppins"/>
          <w:sz w:val="20"/>
          <w:szCs w:val="20"/>
          <w:lang w:val="en-GB"/>
        </w:rPr>
        <w:t xml:space="preserve">, </w:t>
      </w:r>
      <w:r w:rsidRPr="00B24DB0">
        <w:rPr>
          <w:rFonts w:ascii="Poppins" w:hAnsi="Poppins" w:cs="Poppins"/>
          <w:sz w:val="20"/>
          <w:szCs w:val="20"/>
          <w:lang w:val="en-GB"/>
        </w:rPr>
        <w:t>forty-two European apprentices who had experienced international mobility gathered in Paris</w:t>
      </w:r>
      <w:r>
        <w:rPr>
          <w:rFonts w:ascii="Poppins" w:hAnsi="Poppins" w:cs="Poppins"/>
          <w:sz w:val="20"/>
          <w:szCs w:val="20"/>
          <w:lang w:val="en-GB"/>
        </w:rPr>
        <w:t xml:space="preserve">. </w:t>
      </w:r>
      <w:r w:rsidRPr="00B24DB0">
        <w:rPr>
          <w:rFonts w:ascii="Poppins" w:hAnsi="Poppins" w:cs="Poppins"/>
          <w:sz w:val="20"/>
          <w:szCs w:val="20"/>
          <w:lang w:val="en-GB"/>
        </w:rPr>
        <w:t>Having come to share their journeys, they were invited to make their voices heard</w:t>
      </w:r>
      <w:r>
        <w:rPr>
          <w:rFonts w:ascii="Poppins" w:hAnsi="Poppins" w:cs="Poppins"/>
          <w:sz w:val="20"/>
          <w:szCs w:val="20"/>
          <w:lang w:val="en-GB"/>
        </w:rPr>
        <w:t xml:space="preserve"> to</w:t>
      </w:r>
      <w:r w:rsidRPr="00B24DB0">
        <w:rPr>
          <w:rFonts w:ascii="Poppins" w:hAnsi="Poppins" w:cs="Poppins"/>
          <w:sz w:val="20"/>
          <w:szCs w:val="20"/>
          <w:lang w:val="en-GB"/>
        </w:rPr>
        <w:t xml:space="preserve"> inform and help shape European mobility policies.</w:t>
      </w:r>
    </w:p>
    <w:p w14:paraId="151277C1" w14:textId="77777777" w:rsidR="008F4AB8" w:rsidRPr="00B24DB0" w:rsidRDefault="008F4AB8" w:rsidP="008F4AB8">
      <w:pPr>
        <w:jc w:val="both"/>
        <w:rPr>
          <w:rFonts w:ascii="Poppins" w:hAnsi="Poppins" w:cs="Poppins"/>
          <w:sz w:val="20"/>
          <w:szCs w:val="20"/>
          <w:lang w:val="en-GB"/>
        </w:rPr>
      </w:pPr>
      <w:r w:rsidRPr="00B24DB0">
        <w:rPr>
          <w:rFonts w:ascii="Poppins" w:hAnsi="Poppins" w:cs="Poppins"/>
          <w:sz w:val="20"/>
          <w:szCs w:val="20"/>
          <w:lang w:val="en-GB"/>
        </w:rPr>
        <w:t>Drawing on their own experience, the participants first shared their reasons for going abroad, their destinations and the tasks they carried out in their host companies. They then put into words the emotions that marked their stay: the pride of overcoming an obstacle, doubt or a sense of disorientation, the encounter that helps one grow, values shaken or reinforced, but also dissatisfaction or a sense of injustice. Brought together in a collective fresco, these accounts revealed both successes and concrete difficulties.</w:t>
      </w:r>
    </w:p>
    <w:p w14:paraId="0088F33F" w14:textId="77777777" w:rsidR="008F4AB8" w:rsidRPr="00B24DB0" w:rsidRDefault="008F4AB8" w:rsidP="008F4AB8">
      <w:pPr>
        <w:jc w:val="both"/>
        <w:rPr>
          <w:rFonts w:ascii="Poppins" w:hAnsi="Poppins" w:cs="Poppins"/>
          <w:sz w:val="20"/>
          <w:szCs w:val="20"/>
          <w:lang w:val="en-GB"/>
        </w:rPr>
      </w:pPr>
      <w:r w:rsidRPr="00B24DB0">
        <w:rPr>
          <w:rFonts w:ascii="Poppins" w:hAnsi="Poppins" w:cs="Poppins"/>
          <w:sz w:val="20"/>
          <w:szCs w:val="20"/>
          <w:lang w:val="en-GB"/>
        </w:rPr>
        <w:t>Organised into working groups, the apprentices explored in depth four themes at the heart of their experience: the financial and material conditions of mobility, skills development and relations with employers, languages and cultural differences, and finally the administrative burden. For each theme, they considered the personal added value of mobility, what works and should be continued, and what needs to be improved.</w:t>
      </w:r>
    </w:p>
    <w:p w14:paraId="20E859FB" w14:textId="77777777" w:rsidR="008F4AB8" w:rsidRPr="005E41F2" w:rsidRDefault="008F4AB8" w:rsidP="008F4AB8">
      <w:pPr>
        <w:jc w:val="both"/>
        <w:rPr>
          <w:rFonts w:ascii="Poppins" w:hAnsi="Poppins" w:cs="Poppins"/>
          <w:sz w:val="20"/>
          <w:szCs w:val="20"/>
          <w:lang w:val="en-GB"/>
        </w:rPr>
      </w:pPr>
      <w:r w:rsidRPr="005E41F2">
        <w:rPr>
          <w:rFonts w:ascii="Poppins" w:hAnsi="Poppins" w:cs="Poppins"/>
          <w:sz w:val="20"/>
          <w:szCs w:val="20"/>
          <w:lang w:val="en-GB"/>
        </w:rPr>
        <w:t>Their testimonies converge on several findings:</w:t>
      </w:r>
    </w:p>
    <w:p w14:paraId="0CD0BE77" w14:textId="4BB78370" w:rsidR="008F4AB8" w:rsidRPr="00B24DB0" w:rsidRDefault="008F4AB8" w:rsidP="008F4AB8">
      <w:pPr>
        <w:pStyle w:val="ListParagraph"/>
        <w:numPr>
          <w:ilvl w:val="0"/>
          <w:numId w:val="2"/>
        </w:numPr>
        <w:jc w:val="both"/>
        <w:rPr>
          <w:rFonts w:ascii="Poppins" w:hAnsi="Poppins" w:cs="Poppins"/>
          <w:sz w:val="20"/>
          <w:szCs w:val="20"/>
          <w:lang w:val="en-GB"/>
        </w:rPr>
      </w:pPr>
      <w:r w:rsidRPr="00B24DB0">
        <w:rPr>
          <w:rFonts w:ascii="Poppins" w:hAnsi="Poppins" w:cs="Poppins"/>
          <w:sz w:val="20"/>
          <w:szCs w:val="20"/>
          <w:lang w:val="en-GB"/>
        </w:rPr>
        <w:t xml:space="preserve">Mobility is a powerful driver of personal development. It strengthens self-confidence, autonomy and independence, and </w:t>
      </w:r>
      <w:r w:rsidR="00E11DA6" w:rsidRPr="00B24DB0">
        <w:rPr>
          <w:rFonts w:ascii="Poppins" w:hAnsi="Poppins" w:cs="Poppins"/>
          <w:sz w:val="20"/>
          <w:szCs w:val="20"/>
          <w:lang w:val="en-GB"/>
        </w:rPr>
        <w:t>opens</w:t>
      </w:r>
      <w:r w:rsidRPr="00B24DB0">
        <w:rPr>
          <w:rFonts w:ascii="Poppins" w:hAnsi="Poppins" w:cs="Poppins"/>
          <w:sz w:val="20"/>
          <w:szCs w:val="20"/>
          <w:lang w:val="en-GB"/>
        </w:rPr>
        <w:t xml:space="preserve"> other cultural perspectives by </w:t>
      </w:r>
      <w:r>
        <w:rPr>
          <w:rFonts w:ascii="Poppins" w:hAnsi="Poppins" w:cs="Poppins"/>
          <w:sz w:val="20"/>
          <w:szCs w:val="20"/>
          <w:lang w:val="en-GB"/>
        </w:rPr>
        <w:t>allowing</w:t>
      </w:r>
      <w:r w:rsidRPr="00B24DB0">
        <w:rPr>
          <w:rFonts w:ascii="Poppins" w:hAnsi="Poppins" w:cs="Poppins"/>
          <w:sz w:val="20"/>
          <w:szCs w:val="20"/>
          <w:lang w:val="en-GB"/>
        </w:rPr>
        <w:t xml:space="preserve"> everyone to step out of their comfort zone.</w:t>
      </w:r>
    </w:p>
    <w:p w14:paraId="3F2796C3" w14:textId="77777777" w:rsidR="008F4AB8" w:rsidRPr="00B24DB0" w:rsidRDefault="008F4AB8" w:rsidP="008F4AB8">
      <w:pPr>
        <w:pStyle w:val="ListParagraph"/>
        <w:numPr>
          <w:ilvl w:val="0"/>
          <w:numId w:val="2"/>
        </w:numPr>
        <w:jc w:val="both"/>
        <w:rPr>
          <w:rFonts w:ascii="Poppins" w:hAnsi="Poppins" w:cs="Poppins"/>
          <w:sz w:val="20"/>
          <w:szCs w:val="20"/>
          <w:lang w:val="en-GB"/>
        </w:rPr>
      </w:pPr>
      <w:r w:rsidRPr="00B24DB0">
        <w:rPr>
          <w:rFonts w:ascii="Poppins" w:hAnsi="Poppins" w:cs="Poppins"/>
          <w:sz w:val="20"/>
          <w:szCs w:val="20"/>
          <w:lang w:val="en-GB"/>
        </w:rPr>
        <w:t>It enriches career paths through the acquisition of skills, experience and an international network.</w:t>
      </w:r>
    </w:p>
    <w:p w14:paraId="6CCF8985" w14:textId="77777777" w:rsidR="008F4AB8" w:rsidRPr="00B24DB0" w:rsidRDefault="008F4AB8" w:rsidP="008F4AB8">
      <w:pPr>
        <w:pStyle w:val="ListParagraph"/>
        <w:numPr>
          <w:ilvl w:val="0"/>
          <w:numId w:val="2"/>
        </w:numPr>
        <w:jc w:val="both"/>
        <w:rPr>
          <w:rFonts w:ascii="Poppins" w:hAnsi="Poppins" w:cs="Poppins"/>
          <w:sz w:val="20"/>
          <w:szCs w:val="20"/>
          <w:lang w:val="en-GB"/>
        </w:rPr>
      </w:pPr>
      <w:r w:rsidRPr="00B24DB0">
        <w:rPr>
          <w:rFonts w:ascii="Poppins" w:hAnsi="Poppins" w:cs="Poppins"/>
          <w:sz w:val="20"/>
          <w:szCs w:val="20"/>
          <w:lang w:val="en-GB"/>
        </w:rPr>
        <w:t>Mobility is not tourism: whereas the tourist consumes, the mobile apprentice engages in a reciprocal relationship, built on the exchange of values and know-how and on an effort to adapt.</w:t>
      </w:r>
    </w:p>
    <w:p w14:paraId="70DBB131" w14:textId="77777777" w:rsidR="008F4AB8" w:rsidRPr="00B24DB0" w:rsidRDefault="008F4AB8" w:rsidP="008F4AB8">
      <w:pPr>
        <w:pStyle w:val="ListParagraph"/>
        <w:numPr>
          <w:ilvl w:val="0"/>
          <w:numId w:val="2"/>
        </w:numPr>
        <w:jc w:val="both"/>
        <w:rPr>
          <w:rFonts w:ascii="Poppins" w:hAnsi="Poppins" w:cs="Poppins"/>
          <w:sz w:val="20"/>
          <w:szCs w:val="20"/>
          <w:lang w:val="en-GB"/>
        </w:rPr>
      </w:pPr>
      <w:r w:rsidRPr="00B24DB0">
        <w:rPr>
          <w:rFonts w:ascii="Poppins" w:hAnsi="Poppins" w:cs="Poppins"/>
          <w:sz w:val="20"/>
          <w:szCs w:val="20"/>
          <w:lang w:val="en-GB"/>
        </w:rPr>
        <w:t>Erasmus+ funding, accessible and inclusive, is recognised as an essential</w:t>
      </w:r>
      <w:r>
        <w:rPr>
          <w:rFonts w:ascii="Poppins" w:hAnsi="Poppins" w:cs="Poppins"/>
          <w:sz w:val="20"/>
          <w:szCs w:val="20"/>
          <w:lang w:val="en-GB"/>
        </w:rPr>
        <w:t xml:space="preserve"> prerequisite</w:t>
      </w:r>
      <w:r w:rsidRPr="00B24DB0">
        <w:rPr>
          <w:rFonts w:ascii="Poppins" w:hAnsi="Poppins" w:cs="Poppins"/>
          <w:sz w:val="20"/>
          <w:szCs w:val="20"/>
          <w:lang w:val="en-GB"/>
        </w:rPr>
        <w:t xml:space="preserve">. The grant directly determines the quality of </w:t>
      </w:r>
      <w:r>
        <w:rPr>
          <w:rFonts w:ascii="Poppins" w:hAnsi="Poppins" w:cs="Poppins"/>
          <w:sz w:val="20"/>
          <w:szCs w:val="20"/>
          <w:lang w:val="en-GB"/>
        </w:rPr>
        <w:t xml:space="preserve">the experience, especially the </w:t>
      </w:r>
      <w:r w:rsidRPr="00B24DB0">
        <w:rPr>
          <w:rFonts w:ascii="Poppins" w:hAnsi="Poppins" w:cs="Poppins"/>
          <w:sz w:val="20"/>
          <w:szCs w:val="20"/>
          <w:lang w:val="en-GB"/>
        </w:rPr>
        <w:t>cultural immersion.</w:t>
      </w:r>
    </w:p>
    <w:p w14:paraId="3729AB00" w14:textId="77777777" w:rsidR="008F4AB8" w:rsidRPr="00000216" w:rsidRDefault="008F4AB8" w:rsidP="008F4AB8">
      <w:pPr>
        <w:pStyle w:val="ListParagraph"/>
        <w:numPr>
          <w:ilvl w:val="0"/>
          <w:numId w:val="2"/>
        </w:numPr>
        <w:jc w:val="both"/>
        <w:rPr>
          <w:rFonts w:ascii="Poppins" w:hAnsi="Poppins" w:cs="Poppins"/>
          <w:sz w:val="20"/>
          <w:szCs w:val="20"/>
          <w:lang w:val="en-GB"/>
        </w:rPr>
      </w:pPr>
      <w:r w:rsidRPr="00B24DB0">
        <w:rPr>
          <w:rFonts w:ascii="Poppins" w:hAnsi="Poppins" w:cs="Poppins"/>
          <w:sz w:val="20"/>
          <w:szCs w:val="20"/>
          <w:lang w:val="en-GB"/>
        </w:rPr>
        <w:t xml:space="preserve">Difficulties persist, mainly due to </w:t>
      </w:r>
      <w:r>
        <w:rPr>
          <w:rFonts w:ascii="Poppins" w:hAnsi="Poppins" w:cs="Poppins"/>
          <w:sz w:val="20"/>
          <w:szCs w:val="20"/>
          <w:lang w:val="en-GB"/>
        </w:rPr>
        <w:t>unsatisfactory support of</w:t>
      </w:r>
      <w:r w:rsidRPr="00B24DB0">
        <w:rPr>
          <w:rFonts w:ascii="Poppins" w:hAnsi="Poppins" w:cs="Poppins"/>
          <w:sz w:val="20"/>
          <w:szCs w:val="20"/>
          <w:lang w:val="en-GB"/>
        </w:rPr>
        <w:t xml:space="preserve"> intermediary organisations, </w:t>
      </w:r>
      <w:r>
        <w:rPr>
          <w:rFonts w:ascii="Poppins" w:hAnsi="Poppins" w:cs="Poppins"/>
          <w:sz w:val="20"/>
          <w:szCs w:val="20"/>
          <w:lang w:val="en-GB"/>
        </w:rPr>
        <w:t>inadequate</w:t>
      </w:r>
      <w:r w:rsidRPr="00B24DB0">
        <w:rPr>
          <w:rFonts w:ascii="Poppins" w:hAnsi="Poppins" w:cs="Poppins"/>
          <w:sz w:val="20"/>
          <w:szCs w:val="20"/>
          <w:lang w:val="en-GB"/>
        </w:rPr>
        <w:t xml:space="preserve"> accommodation, unsuitable company placements and </w:t>
      </w:r>
      <w:r>
        <w:rPr>
          <w:rFonts w:ascii="Poppins" w:hAnsi="Poppins" w:cs="Poppins"/>
          <w:sz w:val="20"/>
          <w:szCs w:val="20"/>
          <w:lang w:val="en-GB"/>
        </w:rPr>
        <w:t xml:space="preserve">lack of </w:t>
      </w:r>
      <w:r w:rsidRPr="00B24DB0">
        <w:rPr>
          <w:rFonts w:ascii="Poppins" w:hAnsi="Poppins" w:cs="Poppins"/>
          <w:sz w:val="20"/>
          <w:szCs w:val="20"/>
          <w:lang w:val="en-GB"/>
        </w:rPr>
        <w:t>communicatio</w:t>
      </w:r>
      <w:r>
        <w:rPr>
          <w:rFonts w:ascii="Poppins" w:hAnsi="Poppins" w:cs="Poppins"/>
          <w:sz w:val="20"/>
          <w:szCs w:val="20"/>
          <w:lang w:val="en-GB"/>
        </w:rPr>
        <w:t>n</w:t>
      </w:r>
      <w:r w:rsidRPr="00B24DB0">
        <w:rPr>
          <w:rFonts w:ascii="Poppins" w:hAnsi="Poppins" w:cs="Poppins"/>
          <w:sz w:val="20"/>
          <w:szCs w:val="20"/>
          <w:lang w:val="en-GB"/>
        </w:rPr>
        <w:t>.</w:t>
      </w:r>
    </w:p>
    <w:p w14:paraId="5491DEC3" w14:textId="77777777" w:rsidR="008F4AB8" w:rsidRPr="005E41F2" w:rsidRDefault="008F4AB8" w:rsidP="008F4AB8">
      <w:pPr>
        <w:pStyle w:val="ListParagraph"/>
        <w:numPr>
          <w:ilvl w:val="0"/>
          <w:numId w:val="2"/>
        </w:numPr>
        <w:jc w:val="both"/>
        <w:rPr>
          <w:rFonts w:ascii="Poppins" w:hAnsi="Poppins" w:cs="Poppins"/>
          <w:sz w:val="20"/>
          <w:szCs w:val="20"/>
          <w:lang w:val="en-GB"/>
        </w:rPr>
      </w:pPr>
      <w:r>
        <w:rPr>
          <w:rFonts w:ascii="Poppins" w:hAnsi="Poppins" w:cs="Poppins"/>
          <w:sz w:val="20"/>
          <w:szCs w:val="20"/>
          <w:lang w:val="en-GB"/>
        </w:rPr>
        <w:t>The</w:t>
      </w:r>
      <w:r w:rsidRPr="00B24DB0">
        <w:rPr>
          <w:rFonts w:ascii="Poppins" w:hAnsi="Poppins" w:cs="Poppins"/>
          <w:sz w:val="20"/>
          <w:szCs w:val="20"/>
          <w:lang w:val="en-GB"/>
        </w:rPr>
        <w:t xml:space="preserve"> administrative burden </w:t>
      </w:r>
      <w:r>
        <w:rPr>
          <w:rFonts w:ascii="Poppins" w:hAnsi="Poppins" w:cs="Poppins"/>
          <w:sz w:val="20"/>
          <w:szCs w:val="20"/>
          <w:lang w:val="en-GB"/>
        </w:rPr>
        <w:t>was</w:t>
      </w:r>
      <w:r w:rsidRPr="00B24DB0">
        <w:rPr>
          <w:rFonts w:ascii="Poppins" w:hAnsi="Poppins" w:cs="Poppins"/>
          <w:sz w:val="20"/>
          <w:szCs w:val="20"/>
          <w:lang w:val="en-GB"/>
        </w:rPr>
        <w:t xml:space="preserve"> not identified </w:t>
      </w:r>
      <w:r>
        <w:rPr>
          <w:rFonts w:ascii="Poppins" w:hAnsi="Poppins" w:cs="Poppins"/>
          <w:sz w:val="20"/>
          <w:szCs w:val="20"/>
          <w:lang w:val="en-GB"/>
        </w:rPr>
        <w:t>as a</w:t>
      </w:r>
      <w:r w:rsidRPr="00B24DB0">
        <w:rPr>
          <w:rFonts w:ascii="Poppins" w:hAnsi="Poppins" w:cs="Poppins"/>
          <w:sz w:val="20"/>
          <w:szCs w:val="20"/>
          <w:lang w:val="en-GB"/>
        </w:rPr>
        <w:t xml:space="preserve"> particular difficulty from the apprentices’ point of view, </w:t>
      </w:r>
      <w:r>
        <w:rPr>
          <w:rFonts w:ascii="Poppins" w:hAnsi="Poppins" w:cs="Poppins"/>
          <w:sz w:val="20"/>
          <w:szCs w:val="20"/>
          <w:lang w:val="en-GB"/>
        </w:rPr>
        <w:t xml:space="preserve">which shows </w:t>
      </w:r>
      <w:r w:rsidRPr="00B24DB0">
        <w:rPr>
          <w:rFonts w:ascii="Poppins" w:hAnsi="Poppins" w:cs="Poppins"/>
          <w:sz w:val="20"/>
          <w:szCs w:val="20"/>
          <w:lang w:val="en-GB"/>
        </w:rPr>
        <w:t xml:space="preserve">the support provided by their mobility </w:t>
      </w:r>
      <w:r w:rsidRPr="005E41F2">
        <w:rPr>
          <w:rFonts w:ascii="Poppins" w:hAnsi="Poppins" w:cs="Poppins"/>
          <w:sz w:val="20"/>
          <w:szCs w:val="20"/>
          <w:lang w:val="en-GB"/>
        </w:rPr>
        <w:t xml:space="preserve">coordinator. </w:t>
      </w:r>
    </w:p>
    <w:p w14:paraId="7B1BCEC8" w14:textId="77777777" w:rsidR="008F4AB8" w:rsidRPr="00C43F1E" w:rsidRDefault="008F4AB8" w:rsidP="008F4AB8">
      <w:pPr>
        <w:pStyle w:val="ListParagraph"/>
        <w:numPr>
          <w:ilvl w:val="0"/>
          <w:numId w:val="2"/>
        </w:numPr>
        <w:jc w:val="both"/>
        <w:rPr>
          <w:rFonts w:ascii="Poppins" w:hAnsi="Poppins" w:cs="Poppins"/>
          <w:sz w:val="20"/>
          <w:szCs w:val="20"/>
          <w:lang w:val="en-GB"/>
        </w:rPr>
      </w:pPr>
      <w:r w:rsidRPr="005E41F2">
        <w:rPr>
          <w:rFonts w:ascii="Poppins" w:hAnsi="Poppins" w:cs="Poppins"/>
          <w:sz w:val="20"/>
          <w:szCs w:val="20"/>
          <w:lang w:val="en-GB"/>
        </w:rPr>
        <w:t>The role of the</w:t>
      </w:r>
      <w:r>
        <w:rPr>
          <w:rFonts w:ascii="Poppins" w:hAnsi="Poppins" w:cs="Poppins"/>
          <w:sz w:val="20"/>
          <w:szCs w:val="20"/>
          <w:lang w:val="en-GB"/>
        </w:rPr>
        <w:t xml:space="preserve"> apprentices in preparing their own mobility was consider as essential. </w:t>
      </w:r>
    </w:p>
    <w:p w14:paraId="083930A6" w14:textId="77777777" w:rsidR="00E11DA6" w:rsidRDefault="00E11DA6" w:rsidP="008F4AB8">
      <w:pPr>
        <w:jc w:val="both"/>
        <w:rPr>
          <w:rFonts w:ascii="Poppins" w:hAnsi="Poppins" w:cs="Poppins"/>
          <w:sz w:val="20"/>
          <w:szCs w:val="20"/>
          <w:lang w:val="en-GB"/>
        </w:rPr>
      </w:pPr>
    </w:p>
    <w:p w14:paraId="74D8B6BB" w14:textId="5A3A436A" w:rsidR="008F4AB8" w:rsidRPr="00BA1890" w:rsidRDefault="008F4AB8" w:rsidP="008F4AB8">
      <w:pPr>
        <w:jc w:val="both"/>
        <w:rPr>
          <w:rFonts w:ascii="Poppins" w:hAnsi="Poppins" w:cs="Poppins"/>
          <w:sz w:val="20"/>
          <w:szCs w:val="20"/>
          <w:lang w:val="en-GB"/>
        </w:rPr>
      </w:pPr>
      <w:r w:rsidRPr="00B24DB0">
        <w:rPr>
          <w:rFonts w:ascii="Poppins" w:hAnsi="Poppins" w:cs="Poppins"/>
          <w:sz w:val="20"/>
          <w:szCs w:val="20"/>
          <w:lang w:val="en-GB"/>
        </w:rPr>
        <w:t xml:space="preserve">Rooted in lived experience, the apprentices’ testimonies have both enriched and confirmed the orientations of the Joint Declaration presented on 15 October. </w:t>
      </w:r>
      <w:r w:rsidRPr="00BA1890">
        <w:rPr>
          <w:rFonts w:ascii="Poppins" w:hAnsi="Poppins" w:cs="Poppins"/>
          <w:sz w:val="20"/>
          <w:szCs w:val="20"/>
          <w:lang w:val="en-GB"/>
        </w:rPr>
        <w:t xml:space="preserve">They call for the </w:t>
      </w:r>
      <w:r w:rsidRPr="00C43F1E">
        <w:rPr>
          <w:rFonts w:ascii="Poppins" w:hAnsi="Poppins" w:cs="Poppins"/>
          <w:sz w:val="20"/>
          <w:szCs w:val="20"/>
          <w:lang w:val="en-GB"/>
        </w:rPr>
        <w:t>following recommendations:</w:t>
      </w:r>
    </w:p>
    <w:p w14:paraId="38E70950" w14:textId="77777777" w:rsidR="008F4AB8" w:rsidRPr="005E41F2" w:rsidRDefault="008F4AB8" w:rsidP="008F4AB8">
      <w:pPr>
        <w:pStyle w:val="ListParagraph"/>
        <w:numPr>
          <w:ilvl w:val="0"/>
          <w:numId w:val="1"/>
        </w:numPr>
        <w:jc w:val="both"/>
        <w:rPr>
          <w:rFonts w:ascii="Poppins" w:hAnsi="Poppins" w:cs="Poppins"/>
          <w:sz w:val="20"/>
          <w:szCs w:val="20"/>
          <w:lang w:val="en-GB"/>
        </w:rPr>
      </w:pPr>
      <w:r w:rsidRPr="005E41F2">
        <w:rPr>
          <w:rFonts w:ascii="Poppins" w:hAnsi="Poppins" w:cs="Poppins"/>
          <w:sz w:val="20"/>
          <w:szCs w:val="20"/>
          <w:lang w:val="en-GB"/>
        </w:rPr>
        <w:t xml:space="preserve">Raise awareness of apprentice mobility opportunities among all young people. </w:t>
      </w:r>
    </w:p>
    <w:p w14:paraId="125D12C3" w14:textId="77777777" w:rsidR="008F4AB8" w:rsidRPr="005E41F2" w:rsidRDefault="008F4AB8" w:rsidP="008F4AB8">
      <w:pPr>
        <w:pStyle w:val="ListParagraph"/>
        <w:numPr>
          <w:ilvl w:val="0"/>
          <w:numId w:val="1"/>
        </w:numPr>
        <w:jc w:val="both"/>
        <w:rPr>
          <w:rFonts w:ascii="Poppins" w:hAnsi="Poppins" w:cs="Poppins"/>
          <w:sz w:val="20"/>
          <w:szCs w:val="20"/>
          <w:lang w:val="en-GB"/>
        </w:rPr>
      </w:pPr>
      <w:r w:rsidRPr="005E41F2">
        <w:rPr>
          <w:rFonts w:ascii="Poppins" w:hAnsi="Poppins" w:cs="Poppins"/>
          <w:sz w:val="20"/>
          <w:szCs w:val="20"/>
          <w:lang w:val="en-GB"/>
        </w:rPr>
        <w:t xml:space="preserve">Preserve the accessible and inclusive nature of Erasmus+. </w:t>
      </w:r>
    </w:p>
    <w:p w14:paraId="17A58E5F" w14:textId="77777777" w:rsidR="008F4AB8" w:rsidRPr="005E41F2" w:rsidRDefault="008F4AB8" w:rsidP="008F4AB8">
      <w:pPr>
        <w:pStyle w:val="ListParagraph"/>
        <w:numPr>
          <w:ilvl w:val="0"/>
          <w:numId w:val="1"/>
        </w:numPr>
        <w:jc w:val="both"/>
        <w:rPr>
          <w:rFonts w:ascii="Poppins" w:hAnsi="Poppins" w:cs="Poppins"/>
          <w:sz w:val="20"/>
          <w:szCs w:val="20"/>
          <w:lang w:val="en-GB"/>
        </w:rPr>
      </w:pPr>
      <w:r w:rsidRPr="005E41F2">
        <w:rPr>
          <w:rFonts w:ascii="Poppins" w:hAnsi="Poppins" w:cs="Poppins"/>
          <w:sz w:val="20"/>
          <w:szCs w:val="20"/>
          <w:lang w:val="en-GB"/>
        </w:rPr>
        <w:t xml:space="preserve">Ensure safe, high-quality mobility through a dedicated mobility coordinator working within a network of reliable partners. </w:t>
      </w:r>
    </w:p>
    <w:p w14:paraId="45538996" w14:textId="77777777" w:rsidR="008F4AB8" w:rsidRPr="005E41F2" w:rsidRDefault="008F4AB8" w:rsidP="008F4AB8">
      <w:pPr>
        <w:pStyle w:val="ListParagraph"/>
        <w:numPr>
          <w:ilvl w:val="0"/>
          <w:numId w:val="1"/>
        </w:numPr>
        <w:jc w:val="both"/>
        <w:rPr>
          <w:rFonts w:ascii="Poppins" w:hAnsi="Poppins" w:cs="Poppins"/>
          <w:sz w:val="20"/>
          <w:szCs w:val="20"/>
          <w:lang w:val="en-GB"/>
        </w:rPr>
      </w:pPr>
      <w:r w:rsidRPr="005E41F2">
        <w:rPr>
          <w:rFonts w:ascii="Poppins" w:hAnsi="Poppins" w:cs="Poppins"/>
          <w:sz w:val="20"/>
          <w:szCs w:val="20"/>
          <w:lang w:val="en-GB"/>
        </w:rPr>
        <w:t>Create a dedicated digital platform with practical information, guidance and feedback on destinations.</w:t>
      </w:r>
    </w:p>
    <w:p w14:paraId="30D20660" w14:textId="77777777" w:rsidR="008F4AB8" w:rsidRPr="005E41F2" w:rsidRDefault="008F4AB8" w:rsidP="008F4AB8">
      <w:pPr>
        <w:pStyle w:val="ListParagraph"/>
        <w:numPr>
          <w:ilvl w:val="0"/>
          <w:numId w:val="1"/>
        </w:numPr>
        <w:jc w:val="both"/>
        <w:rPr>
          <w:rFonts w:ascii="Poppins" w:hAnsi="Poppins" w:cs="Poppins"/>
          <w:sz w:val="20"/>
          <w:szCs w:val="20"/>
          <w:lang w:val="en-GB"/>
        </w:rPr>
      </w:pPr>
      <w:r w:rsidRPr="005E41F2">
        <w:rPr>
          <w:rFonts w:ascii="Poppins" w:hAnsi="Poppins" w:cs="Poppins"/>
          <w:sz w:val="20"/>
          <w:szCs w:val="20"/>
          <w:lang w:val="en-GB"/>
        </w:rPr>
        <w:t xml:space="preserve">Rigorously organise the follow-up of mobility, including reflection, recognition and impact. </w:t>
      </w:r>
    </w:p>
    <w:p w14:paraId="76BDC852" w14:textId="4385A043" w:rsidR="2BBE779D" w:rsidRPr="00A10A1A" w:rsidRDefault="008F4AB8" w:rsidP="00A10A1A">
      <w:pPr>
        <w:jc w:val="both"/>
        <w:rPr>
          <w:rFonts w:ascii="Poppins" w:hAnsi="Poppins" w:cs="Poppins"/>
          <w:sz w:val="20"/>
          <w:szCs w:val="20"/>
          <w:lang w:val="en-GB"/>
        </w:rPr>
      </w:pPr>
      <w:r w:rsidRPr="00B24DB0">
        <w:rPr>
          <w:rFonts w:ascii="Poppins" w:hAnsi="Poppins" w:cs="Poppins"/>
          <w:sz w:val="20"/>
          <w:szCs w:val="20"/>
          <w:lang w:val="en-GB"/>
        </w:rPr>
        <w:t>This collaborative work highlights the needs of those most directly concerned: the apprentices themselves. It calls on mobility stakeholders, to provide concrete responses and to make excellence the norm for all mobilit</w:t>
      </w:r>
      <w:r>
        <w:rPr>
          <w:rFonts w:ascii="Poppins" w:hAnsi="Poppins" w:cs="Poppins"/>
          <w:sz w:val="20"/>
          <w:szCs w:val="20"/>
          <w:lang w:val="en-GB"/>
        </w:rPr>
        <w:t>ies</w:t>
      </w:r>
      <w:r w:rsidR="00A10A1A">
        <w:rPr>
          <w:rFonts w:ascii="Poppins" w:hAnsi="Poppins" w:cs="Poppins"/>
          <w:sz w:val="20"/>
          <w:szCs w:val="20"/>
          <w:lang w:val="en-GB"/>
        </w:rPr>
        <w:t>.</w:t>
      </w:r>
    </w:p>
    <w:p w14:paraId="18391FAF" w14:textId="0424E536" w:rsidR="2BBE779D" w:rsidRPr="008F4AB8" w:rsidRDefault="2BBE779D" w:rsidP="2BBE779D">
      <w:pPr>
        <w:ind w:left="1710" w:right="1710"/>
        <w:rPr>
          <w:rFonts w:ascii="Gadugi" w:eastAsia="Gadugi" w:hAnsi="Gadugi" w:cs="Gadugi"/>
          <w:color w:val="042246"/>
          <w:lang w:val="en-GB"/>
        </w:rPr>
      </w:pPr>
    </w:p>
    <w:p w14:paraId="306D239F" w14:textId="5F5B486D" w:rsidR="2BBE779D" w:rsidRPr="008F4AB8" w:rsidRDefault="2BBE779D" w:rsidP="2BBE779D">
      <w:pPr>
        <w:ind w:left="1710" w:right="1710"/>
        <w:rPr>
          <w:rFonts w:ascii="Gadugi" w:eastAsia="Gadugi" w:hAnsi="Gadugi" w:cs="Gadugi"/>
          <w:color w:val="042246"/>
          <w:lang w:val="en-GB"/>
        </w:rPr>
      </w:pPr>
    </w:p>
    <w:p w14:paraId="2EF75DA0" w14:textId="7EF2F46E" w:rsidR="2BBE779D" w:rsidRPr="008F4AB8" w:rsidRDefault="2BBE779D" w:rsidP="2BBE779D">
      <w:pPr>
        <w:ind w:left="1710" w:right="1710"/>
        <w:rPr>
          <w:rFonts w:ascii="Gadugi" w:eastAsia="Gadugi" w:hAnsi="Gadugi" w:cs="Gadugi"/>
          <w:color w:val="042246"/>
          <w:lang w:val="en-GB"/>
        </w:rPr>
      </w:pPr>
    </w:p>
    <w:p w14:paraId="1CED048E" w14:textId="1176FB47" w:rsidR="2BBE779D" w:rsidRPr="008F4AB8" w:rsidRDefault="2BBE779D" w:rsidP="2BBE779D">
      <w:pPr>
        <w:ind w:left="1710" w:right="1710"/>
        <w:rPr>
          <w:rFonts w:ascii="Gadugi" w:eastAsia="Gadugi" w:hAnsi="Gadugi" w:cs="Gadugi"/>
          <w:color w:val="042246"/>
          <w:lang w:val="en-GB"/>
        </w:rPr>
      </w:pPr>
    </w:p>
    <w:p w14:paraId="352C79F9" w14:textId="7C159E81" w:rsidR="2BBE779D" w:rsidRPr="008F4AB8" w:rsidRDefault="2BBE779D" w:rsidP="2BBE779D">
      <w:pPr>
        <w:ind w:left="1710" w:right="1710"/>
        <w:rPr>
          <w:rFonts w:ascii="Gadugi" w:eastAsia="Gadugi" w:hAnsi="Gadugi" w:cs="Gadugi"/>
          <w:color w:val="042246"/>
          <w:lang w:val="en-GB"/>
        </w:rPr>
      </w:pPr>
    </w:p>
    <w:p w14:paraId="77119218" w14:textId="7D725DA4" w:rsidR="2BBE779D" w:rsidRPr="008F4AB8" w:rsidRDefault="2BBE779D" w:rsidP="2BBE779D">
      <w:pPr>
        <w:ind w:left="1710" w:right="1710"/>
        <w:rPr>
          <w:rFonts w:ascii="Gadugi" w:eastAsia="Gadugi" w:hAnsi="Gadugi" w:cs="Gadugi"/>
          <w:color w:val="042246"/>
          <w:lang w:val="en-GB"/>
        </w:rPr>
      </w:pPr>
    </w:p>
    <w:p w14:paraId="72DE5EE2" w14:textId="3958CC07" w:rsidR="2BBE779D" w:rsidRPr="008F4AB8" w:rsidRDefault="2BBE779D" w:rsidP="2BBE779D">
      <w:pPr>
        <w:ind w:left="1710" w:right="1710"/>
        <w:rPr>
          <w:rFonts w:ascii="Gadugi" w:eastAsia="Gadugi" w:hAnsi="Gadugi" w:cs="Gadugi"/>
          <w:color w:val="042246"/>
          <w:lang w:val="en-GB"/>
        </w:rPr>
      </w:pPr>
    </w:p>
    <w:p w14:paraId="53E240A1" w14:textId="248230B3" w:rsidR="2BBE779D" w:rsidRPr="008F4AB8" w:rsidRDefault="2BBE779D" w:rsidP="2BBE779D">
      <w:pPr>
        <w:ind w:left="1710" w:right="1710"/>
        <w:rPr>
          <w:rFonts w:ascii="Gadugi" w:eastAsia="Gadugi" w:hAnsi="Gadugi" w:cs="Gadugi"/>
          <w:color w:val="042246"/>
          <w:lang w:val="en-GB"/>
        </w:rPr>
      </w:pPr>
    </w:p>
    <w:p w14:paraId="639DC9FA" w14:textId="0ACF9828" w:rsidR="2BBE779D" w:rsidRPr="008F4AB8" w:rsidRDefault="2BBE779D" w:rsidP="2BBE779D">
      <w:pPr>
        <w:ind w:left="1710" w:right="1710"/>
        <w:rPr>
          <w:rFonts w:ascii="Gadugi" w:eastAsia="Gadugi" w:hAnsi="Gadugi" w:cs="Gadugi"/>
          <w:color w:val="042246"/>
          <w:lang w:val="en-GB"/>
        </w:rPr>
      </w:pPr>
    </w:p>
    <w:p w14:paraId="7E2F86E1" w14:textId="4836C613" w:rsidR="2BBE779D" w:rsidRPr="008F4AB8" w:rsidRDefault="2BBE779D" w:rsidP="2BBE779D">
      <w:pPr>
        <w:ind w:left="1710" w:right="1710"/>
        <w:rPr>
          <w:rFonts w:ascii="Gadugi" w:eastAsia="Gadugi" w:hAnsi="Gadugi" w:cs="Gadugi"/>
          <w:color w:val="042246"/>
          <w:lang w:val="en-GB"/>
        </w:rPr>
      </w:pPr>
    </w:p>
    <w:p w14:paraId="61C0CD78" w14:textId="4F4201B4" w:rsidR="2BBE779D" w:rsidRPr="008F4AB8" w:rsidRDefault="2BBE779D" w:rsidP="2BBE779D">
      <w:pPr>
        <w:ind w:left="1710" w:right="1710"/>
        <w:rPr>
          <w:rFonts w:ascii="Gadugi" w:eastAsia="Gadugi" w:hAnsi="Gadugi" w:cs="Gadugi"/>
          <w:color w:val="042246"/>
          <w:lang w:val="en-GB"/>
        </w:rPr>
      </w:pPr>
    </w:p>
    <w:p w14:paraId="5916457B" w14:textId="7D8EDC26" w:rsidR="27CD3D6C" w:rsidRPr="008F4AB8" w:rsidRDefault="27CD3D6C" w:rsidP="27CD3D6C">
      <w:pPr>
        <w:ind w:left="1710" w:right="1710"/>
        <w:rPr>
          <w:rFonts w:ascii="Gadugi" w:eastAsia="Gadugi" w:hAnsi="Gadugi" w:cs="Gadugi"/>
          <w:color w:val="042246"/>
          <w:lang w:val="en-GB"/>
        </w:rPr>
      </w:pPr>
    </w:p>
    <w:p w14:paraId="6A9A1348" w14:textId="5ABE5A2D" w:rsidR="0CE43A05" w:rsidRPr="008F4AB8" w:rsidRDefault="0CE43A05" w:rsidP="27CD3D6C">
      <w:pPr>
        <w:ind w:right="1710"/>
        <w:rPr>
          <w:lang w:val="en-GB"/>
        </w:rPr>
      </w:pPr>
    </w:p>
    <w:p w14:paraId="620001EC" w14:textId="431D247D" w:rsidR="0F47BABE" w:rsidRPr="008F4AB8" w:rsidRDefault="0F47BABE" w:rsidP="0F47BABE">
      <w:pPr>
        <w:ind w:left="1710" w:right="1710"/>
        <w:rPr>
          <w:rFonts w:ascii="Gadugi" w:eastAsia="Gadugi" w:hAnsi="Gadugi" w:cs="Gadugi"/>
          <w:color w:val="042246"/>
          <w:lang w:val="en-GB"/>
        </w:rPr>
      </w:pPr>
    </w:p>
    <w:sectPr w:rsidR="0F47BABE" w:rsidRPr="008F4AB8" w:rsidSect="00BA75FB">
      <w:headerReference w:type="default" r:id="rId10"/>
      <w:footerReference w:type="default" r:id="rId11"/>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F271E" w14:textId="77777777" w:rsidR="00040AD4" w:rsidRDefault="00040AD4">
      <w:pPr>
        <w:spacing w:after="0" w:line="240" w:lineRule="auto"/>
      </w:pPr>
      <w:r>
        <w:separator/>
      </w:r>
    </w:p>
  </w:endnote>
  <w:endnote w:type="continuationSeparator" w:id="0">
    <w:p w14:paraId="6E39803E" w14:textId="77777777" w:rsidR="00040AD4" w:rsidRDefault="00040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oppins">
    <w:altName w:val="Nirmala UI"/>
    <w:charset w:val="00"/>
    <w:family w:val="auto"/>
    <w:pitch w:val="variable"/>
    <w:sig w:usb0="00008007" w:usb1="00000000" w:usb2="00000000" w:usb3="00000000" w:csb0="00000093"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19A5" w14:textId="0A6F6E91" w:rsidR="23D70141" w:rsidRDefault="42030BC0" w:rsidP="0AB8579A">
    <w:pPr>
      <w:pStyle w:val="Footer"/>
      <w:ind w:left="1416" w:right="1710"/>
    </w:pPr>
    <w:r>
      <w:rPr>
        <w:noProof/>
      </w:rPr>
      <w:drawing>
        <wp:inline distT="0" distB="0" distL="0" distR="0" wp14:anchorId="1DC63112" wp14:editId="06ABD9AB">
          <wp:extent cx="5734345" cy="438173"/>
          <wp:effectExtent l="0" t="0" r="0" b="0"/>
          <wp:docPr id="53564537" name="drawing">
            <a:extLst xmlns:a="http://schemas.openxmlformats.org/drawingml/2006/main">
              <a:ext uri="{FF2B5EF4-FFF2-40B4-BE49-F238E27FC236}">
                <a16:creationId xmlns:a16="http://schemas.microsoft.com/office/drawing/2014/main" id="{68210ECB-38B9-4AB7-905D-ED45D28B1C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67143" name="Picture 1875167143"/>
                  <pic:cNvPicPr/>
                </pic:nvPicPr>
                <pic:blipFill>
                  <a:blip r:embed="rId1">
                    <a:extLst>
                      <a:ext uri="{28A0092B-C50C-407E-A947-70E740481C1C}">
                        <a14:useLocalDpi xmlns:a14="http://schemas.microsoft.com/office/drawing/2010/main"/>
                      </a:ext>
                    </a:extLst>
                  </a:blip>
                  <a:stretch>
                    <a:fillRect/>
                  </a:stretch>
                </pic:blipFill>
                <pic:spPr>
                  <a:xfrm>
                    <a:off x="0" y="0"/>
                    <a:ext cx="5734345" cy="4381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839A2" w14:textId="77777777" w:rsidR="00040AD4" w:rsidRDefault="00040AD4">
      <w:pPr>
        <w:spacing w:after="0" w:line="240" w:lineRule="auto"/>
      </w:pPr>
      <w:r>
        <w:separator/>
      </w:r>
    </w:p>
  </w:footnote>
  <w:footnote w:type="continuationSeparator" w:id="0">
    <w:p w14:paraId="20BC28E2" w14:textId="77777777" w:rsidR="00040AD4" w:rsidRDefault="00040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B8EB" w14:textId="470B2A4A" w:rsidR="1F92F24B" w:rsidRDefault="00BA75FB" w:rsidP="1F92F24B">
    <w:pPr>
      <w:pStyle w:val="Header"/>
      <w:ind w:right="-1350"/>
    </w:pPr>
    <w:r>
      <w:rPr>
        <w:noProof/>
      </w:rPr>
      <w:drawing>
        <wp:anchor distT="0" distB="0" distL="114300" distR="114300" simplePos="0" relativeHeight="251657216" behindDoc="0" locked="0" layoutInCell="1" allowOverlap="1" wp14:anchorId="38447205" wp14:editId="126235F2">
          <wp:simplePos x="0" y="0"/>
          <wp:positionH relativeFrom="page">
            <wp:align>left</wp:align>
          </wp:positionH>
          <wp:positionV relativeFrom="paragraph">
            <wp:posOffset>-421640</wp:posOffset>
          </wp:positionV>
          <wp:extent cx="7609662" cy="1810442"/>
          <wp:effectExtent l="0" t="0" r="0" b="0"/>
          <wp:wrapNone/>
          <wp:docPr id="310329760" name="drawing">
            <a:extLst xmlns:a="http://schemas.openxmlformats.org/drawingml/2006/main">
              <a:ext uri="{FF2B5EF4-FFF2-40B4-BE49-F238E27FC236}">
                <a16:creationId xmlns:a16="http://schemas.microsoft.com/office/drawing/2014/main" id="{F0D0E205-1A86-4826-A232-EAEB7E37E9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63114" name="Picture 1272363114"/>
                  <pic:cNvPicPr/>
                </pic:nvPicPr>
                <pic:blipFill>
                  <a:blip r:embed="rId1">
                    <a:extLst>
                      <a:ext uri="{28A0092B-C50C-407E-A947-70E740481C1C}">
                        <a14:useLocalDpi xmlns:a14="http://schemas.microsoft.com/office/drawing/2010/main"/>
                      </a:ext>
                    </a:extLst>
                  </a:blip>
                  <a:stretch>
                    <a:fillRect/>
                  </a:stretch>
                </pic:blipFill>
                <pic:spPr>
                  <a:xfrm>
                    <a:off x="0" y="0"/>
                    <a:ext cx="7609662" cy="1810442"/>
                  </a:xfrm>
                  <a:prstGeom prst="rect">
                    <a:avLst/>
                  </a:prstGeom>
                </pic:spPr>
              </pic:pic>
            </a:graphicData>
          </a:graphic>
          <wp14:sizeRelH relativeFrom="page">
            <wp14:pctWidth>0</wp14:pctWidth>
          </wp14:sizeRelH>
          <wp14:sizeRelV relativeFrom="page">
            <wp14:pctHeight>0</wp14:pctHeight>
          </wp14:sizeRelV>
        </wp:anchor>
      </w:drawing>
    </w:r>
  </w:p>
  <w:p w14:paraId="67D2BE38" w14:textId="04D052F5" w:rsidR="23D70141" w:rsidRDefault="23D70141" w:rsidP="56615EC1">
    <w:pPr>
      <w:pStyle w:val="Header"/>
      <w:ind w:right="-1350"/>
    </w:pPr>
  </w:p>
  <w:p w14:paraId="61295E7C" w14:textId="6F093CB7" w:rsidR="290AADCD" w:rsidRDefault="290AADCD" w:rsidP="290AADCD">
    <w:pPr>
      <w:pStyle w:val="Header"/>
      <w:ind w:right="-1350"/>
    </w:pPr>
  </w:p>
  <w:p w14:paraId="3ADD25AD" w14:textId="6A1245C5" w:rsidR="290AADCD" w:rsidRDefault="290AADCD" w:rsidP="290AADCD">
    <w:pPr>
      <w:pStyle w:val="Header"/>
      <w:ind w:right="-13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49E7"/>
    <w:multiLevelType w:val="hybridMultilevel"/>
    <w:tmpl w:val="FAAE8B02"/>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E855B3E"/>
    <w:multiLevelType w:val="hybridMultilevel"/>
    <w:tmpl w:val="63D0AC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2349945">
    <w:abstractNumId w:val="0"/>
  </w:num>
  <w:num w:numId="2" w16cid:durableId="913857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4EFF02"/>
    <w:rsid w:val="000169B3"/>
    <w:rsid w:val="00040AD4"/>
    <w:rsid w:val="001B5B88"/>
    <w:rsid w:val="002063B2"/>
    <w:rsid w:val="002629DC"/>
    <w:rsid w:val="0032011A"/>
    <w:rsid w:val="003367A2"/>
    <w:rsid w:val="004E006E"/>
    <w:rsid w:val="0066461D"/>
    <w:rsid w:val="006679F0"/>
    <w:rsid w:val="006947DD"/>
    <w:rsid w:val="006A7024"/>
    <w:rsid w:val="0071320D"/>
    <w:rsid w:val="007327DC"/>
    <w:rsid w:val="008835F2"/>
    <w:rsid w:val="00893A86"/>
    <w:rsid w:val="008E33C5"/>
    <w:rsid w:val="008F4AB8"/>
    <w:rsid w:val="00960F52"/>
    <w:rsid w:val="00A10A1A"/>
    <w:rsid w:val="00A32BAC"/>
    <w:rsid w:val="00AC66CF"/>
    <w:rsid w:val="00B32616"/>
    <w:rsid w:val="00BA75FB"/>
    <w:rsid w:val="00C36129"/>
    <w:rsid w:val="00E11DA6"/>
    <w:rsid w:val="00FA66F8"/>
    <w:rsid w:val="054386C4"/>
    <w:rsid w:val="0A2EADDB"/>
    <w:rsid w:val="0AB8579A"/>
    <w:rsid w:val="0CE43A05"/>
    <w:rsid w:val="0F47BABE"/>
    <w:rsid w:val="1315285A"/>
    <w:rsid w:val="15312B4F"/>
    <w:rsid w:val="15F1B671"/>
    <w:rsid w:val="16EF43F5"/>
    <w:rsid w:val="1AF6381F"/>
    <w:rsid w:val="1CA1A391"/>
    <w:rsid w:val="1F92F24B"/>
    <w:rsid w:val="1F93C748"/>
    <w:rsid w:val="222C0FA1"/>
    <w:rsid w:val="23D70141"/>
    <w:rsid w:val="2539DE28"/>
    <w:rsid w:val="26860F9F"/>
    <w:rsid w:val="27CD3D6C"/>
    <w:rsid w:val="290AADCD"/>
    <w:rsid w:val="29982CF8"/>
    <w:rsid w:val="2A0B81BD"/>
    <w:rsid w:val="2B35DD21"/>
    <w:rsid w:val="2B4796E5"/>
    <w:rsid w:val="2BBE779D"/>
    <w:rsid w:val="34E8CF79"/>
    <w:rsid w:val="35BC02BE"/>
    <w:rsid w:val="3CE9070E"/>
    <w:rsid w:val="3D2523AF"/>
    <w:rsid w:val="42030BC0"/>
    <w:rsid w:val="457B8E3A"/>
    <w:rsid w:val="465622F8"/>
    <w:rsid w:val="4723F300"/>
    <w:rsid w:val="49F89595"/>
    <w:rsid w:val="4CE97184"/>
    <w:rsid w:val="54F7A024"/>
    <w:rsid w:val="54F8C2A7"/>
    <w:rsid w:val="56615EC1"/>
    <w:rsid w:val="5BE4AE4F"/>
    <w:rsid w:val="5F3E7BFB"/>
    <w:rsid w:val="62632E7A"/>
    <w:rsid w:val="62772416"/>
    <w:rsid w:val="62EB42C8"/>
    <w:rsid w:val="63D536EF"/>
    <w:rsid w:val="645C221C"/>
    <w:rsid w:val="660F7717"/>
    <w:rsid w:val="6866858D"/>
    <w:rsid w:val="6A28BC41"/>
    <w:rsid w:val="6B05EA84"/>
    <w:rsid w:val="6D667B57"/>
    <w:rsid w:val="7372D479"/>
    <w:rsid w:val="761CB537"/>
    <w:rsid w:val="7669A722"/>
    <w:rsid w:val="78153B93"/>
    <w:rsid w:val="7A4EFF02"/>
    <w:rsid w:val="7BA6380C"/>
    <w:rsid w:val="7C66366D"/>
    <w:rsid w:val="7CD00CD5"/>
    <w:rsid w:val="7ED7DA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A4EFF02"/>
  <w15:chartTrackingRefBased/>
  <w15:docId w15:val="{8AE97226-4C7F-4EE9-BFD5-9D20767B4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23D70141"/>
    <w:pPr>
      <w:tabs>
        <w:tab w:val="center" w:pos="4680"/>
        <w:tab w:val="right" w:pos="9360"/>
      </w:tabs>
      <w:spacing w:after="0" w:line="240" w:lineRule="auto"/>
    </w:pPr>
  </w:style>
  <w:style w:type="paragraph" w:styleId="Footer">
    <w:name w:val="footer"/>
    <w:basedOn w:val="Normal"/>
    <w:uiPriority w:val="99"/>
    <w:unhideWhenUsed/>
    <w:rsid w:val="23D7014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F4AB8"/>
    <w:pPr>
      <w:spacing w:line="276"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a1c79b-f544-4f3d-b376-a8a1c9dced31">
      <Terms xmlns="http://schemas.microsoft.com/office/infopath/2007/PartnerControls"/>
    </lcf76f155ced4ddcb4097134ff3c332f>
    <TaxCatchAll xmlns="754c2fef-3ad1-4b07-9d0f-6b0dba46c1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2C0B2195D5B644A67AE6F29A801D87" ma:contentTypeVersion="14" ma:contentTypeDescription="Crée un document." ma:contentTypeScope="" ma:versionID="ac28538adbb97ba1a80497fc7648cf4d">
  <xsd:schema xmlns:xsd="http://www.w3.org/2001/XMLSchema" xmlns:xs="http://www.w3.org/2001/XMLSchema" xmlns:p="http://schemas.microsoft.com/office/2006/metadata/properties" xmlns:ns2="38a1c79b-f544-4f3d-b376-a8a1c9dced31" xmlns:ns3="754c2fef-3ad1-4b07-9d0f-6b0dba46c1e0" targetNamespace="http://schemas.microsoft.com/office/2006/metadata/properties" ma:root="true" ma:fieldsID="e5f644a92bc7fa4a4d2652d8c3123d67" ns2:_="" ns3:_="">
    <xsd:import namespace="38a1c79b-f544-4f3d-b376-a8a1c9dced31"/>
    <xsd:import namespace="754c2fef-3ad1-4b07-9d0f-6b0dba46c1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c79b-f544-4f3d-b376-a8a1c9dced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530952f0-8d8c-4d1d-8855-3624050e9cd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4c2fef-3ad1-4b07-9d0f-6b0dba46c1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0f9940c-8189-4b63-95f4-bfe5da2e2643}" ma:internalName="TaxCatchAll" ma:showField="CatchAllData" ma:web="754c2fef-3ad1-4b07-9d0f-6b0dba46c1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8388A0-8355-438D-B44A-62F4F09CDDF0}">
  <ds:schemaRefs>
    <ds:schemaRef ds:uri="http://schemas.microsoft.com/sharepoint/v3/contenttype/forms"/>
  </ds:schemaRefs>
</ds:datastoreItem>
</file>

<file path=customXml/itemProps2.xml><?xml version="1.0" encoding="utf-8"?>
<ds:datastoreItem xmlns:ds="http://schemas.openxmlformats.org/officeDocument/2006/customXml" ds:itemID="{0A4894F9-C5B6-481D-8F27-5D2D7BB189FB}">
  <ds:schemaRefs>
    <ds:schemaRef ds:uri="http://schemas.microsoft.com/office/2006/metadata/properties"/>
    <ds:schemaRef ds:uri="http://schemas.microsoft.com/office/infopath/2007/PartnerControls"/>
    <ds:schemaRef ds:uri="38a1c79b-f544-4f3d-b376-a8a1c9dced31"/>
    <ds:schemaRef ds:uri="754c2fef-3ad1-4b07-9d0f-6b0dba46c1e0"/>
  </ds:schemaRefs>
</ds:datastoreItem>
</file>

<file path=customXml/itemProps3.xml><?xml version="1.0" encoding="utf-8"?>
<ds:datastoreItem xmlns:ds="http://schemas.openxmlformats.org/officeDocument/2006/customXml" ds:itemID="{CF1857D0-1751-4A2B-8496-DA8D56AB0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c79b-f544-4f3d-b376-a8a1c9dced31"/>
    <ds:schemaRef ds:uri="754c2fef-3ad1-4b07-9d0f-6b0dba46c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Léonie Meunier</dc:creator>
  <cp:keywords/>
  <dc:description/>
  <cp:lastModifiedBy>Paola Bolognini</cp:lastModifiedBy>
  <cp:revision>2</cp:revision>
  <dcterms:created xsi:type="dcterms:W3CDTF">2026-10-21T09:23:00Z</dcterms:created>
  <dcterms:modified xsi:type="dcterms:W3CDTF">2026-10-21T14:31:00Z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0x0101004D2C0B2195D5B644A67AE6F29A801D87</vt:lpwstr>
  </property>
  <property fmtid="{D5CDD505-2E9C-101B-9397-08002B2CF9AE}" pid="3" name="MediaServiceImageTags">
    <vt:lpwstr/>
  </property>
</Properties>
</file>